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40" w:rsidRPr="00D36943" w:rsidRDefault="00131040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131040" w:rsidRPr="00D36943" w:rsidRDefault="00131040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131040" w:rsidRPr="00D36943" w:rsidRDefault="00131040" w:rsidP="00D36943">
      <w:pPr>
        <w:rPr>
          <w:rFonts w:ascii="Arial" w:hAnsi="Arial" w:cs="Arial"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131040" w:rsidRPr="00D36943" w:rsidRDefault="00131040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262"/>
      </w:tblGrid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Planning Proposal Number</w:t>
            </w:r>
          </w:p>
        </w:tc>
        <w:bookmarkStart w:id="0" w:name="Text4"/>
        <w:tc>
          <w:tcPr>
            <w:tcW w:w="4264" w:type="dxa"/>
          </w:tcPr>
          <w:p w:rsidR="00131040" w:rsidRPr="008C40FB" w:rsidRDefault="00131040" w:rsidP="008C40FB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8C40FB">
              <w:rPr>
                <w:rFonts w:ascii="Arial" w:hAnsi="Arial" w:cs="Arial"/>
                <w:b/>
                <w:noProof/>
              </w:rPr>
              <w:t>PP_2015_BLAYN_001_00</w:t>
            </w:r>
            <w:bookmarkEnd w:id="1"/>
            <w:r w:rsidRPr="008C40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131040" w:rsidRPr="008C40FB" w:rsidRDefault="00131040" w:rsidP="001B6DE2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20 February 2015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131040" w:rsidRPr="008C40FB" w:rsidRDefault="00131040" w:rsidP="008C40FB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Considered by the Ministers delegate and not referred to Panel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131040" w:rsidRPr="008C40FB" w:rsidRDefault="00131040" w:rsidP="008C40FB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3 March 2015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2683"/>
        <w:gridCol w:w="1579"/>
      </w:tblGrid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>Notified Reg Off</w:t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Dates draft LEP exhibited</w:t>
            </w:r>
          </w:p>
        </w:tc>
        <w:bookmarkStart w:id="2" w:name="Text2"/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bookmarkStart w:id="3" w:name="Text3"/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1040" w:rsidRPr="00D36943" w:rsidTr="008C40FB">
        <w:tc>
          <w:tcPr>
            <w:tcW w:w="4260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131040" w:rsidRPr="00D36943" w:rsidTr="008C40FB"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</w:rPr>
            </w:pPr>
            <w:r w:rsidRPr="008C40FB">
              <w:rPr>
                <w:rFonts w:ascii="Arial" w:hAnsi="Arial" w:cs="Arial"/>
              </w:rPr>
              <w:t>Notification Date and details</w:t>
            </w:r>
          </w:p>
        </w:tc>
        <w:bookmarkStart w:id="4" w:name="Text1"/>
        <w:tc>
          <w:tcPr>
            <w:tcW w:w="4264" w:type="dxa"/>
          </w:tcPr>
          <w:p w:rsidR="00131040" w:rsidRPr="008C40FB" w:rsidRDefault="00131040" w:rsidP="00D36943">
            <w:pPr>
              <w:rPr>
                <w:rFonts w:ascii="Arial" w:hAnsi="Arial" w:cs="Arial"/>
                <w:b/>
              </w:rPr>
            </w:pPr>
            <w:r w:rsidRPr="008C40F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0FB">
              <w:rPr>
                <w:rFonts w:ascii="Arial" w:hAnsi="Arial" w:cs="Arial"/>
                <w:b/>
              </w:rPr>
              <w:instrText xml:space="preserve"> FORMTEXT </w:instrText>
            </w:r>
            <w:r w:rsidRPr="008C40FB">
              <w:rPr>
                <w:rFonts w:ascii="Arial" w:hAnsi="Arial" w:cs="Arial"/>
                <w:b/>
              </w:rPr>
            </w:r>
            <w:r w:rsidRPr="008C40FB">
              <w:rPr>
                <w:rFonts w:ascii="Arial" w:hAnsi="Arial" w:cs="Arial"/>
                <w:b/>
              </w:rPr>
              <w:fldChar w:fldCharType="separate"/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  <w:noProof/>
              </w:rPr>
              <w:t> </w:t>
            </w:r>
            <w:r w:rsidRPr="008C40FB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</w:p>
    <w:p w:rsidR="00131040" w:rsidRPr="00D36943" w:rsidRDefault="00131040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131040" w:rsidRPr="00D36943" w:rsidRDefault="00131040">
      <w:pPr>
        <w:rPr>
          <w:rFonts w:ascii="Arial" w:hAnsi="Arial" w:cs="Arial"/>
        </w:rPr>
      </w:pPr>
    </w:p>
    <w:sectPr w:rsidR="00131040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43"/>
    <w:rsid w:val="00014FE7"/>
    <w:rsid w:val="00045BFC"/>
    <w:rsid w:val="000712DE"/>
    <w:rsid w:val="000A7F5A"/>
    <w:rsid w:val="001008FE"/>
    <w:rsid w:val="00131040"/>
    <w:rsid w:val="001B6DE2"/>
    <w:rsid w:val="0028000A"/>
    <w:rsid w:val="00347B0A"/>
    <w:rsid w:val="00413521"/>
    <w:rsid w:val="00426B0E"/>
    <w:rsid w:val="004655CC"/>
    <w:rsid w:val="00473DFB"/>
    <w:rsid w:val="004B05AE"/>
    <w:rsid w:val="004C4563"/>
    <w:rsid w:val="00525262"/>
    <w:rsid w:val="00525C54"/>
    <w:rsid w:val="005C7B31"/>
    <w:rsid w:val="006237E2"/>
    <w:rsid w:val="00695B16"/>
    <w:rsid w:val="00696BA4"/>
    <w:rsid w:val="00833EB5"/>
    <w:rsid w:val="00835EF2"/>
    <w:rsid w:val="00840BE0"/>
    <w:rsid w:val="008C10DA"/>
    <w:rsid w:val="008C40FB"/>
    <w:rsid w:val="00914DD6"/>
    <w:rsid w:val="00980AF8"/>
    <w:rsid w:val="00983388"/>
    <w:rsid w:val="00AA2705"/>
    <w:rsid w:val="00AC6323"/>
    <w:rsid w:val="00B91AE5"/>
    <w:rsid w:val="00BF7323"/>
    <w:rsid w:val="00C55AB5"/>
    <w:rsid w:val="00C807DB"/>
    <w:rsid w:val="00C81BB9"/>
    <w:rsid w:val="00D31E38"/>
    <w:rsid w:val="00D36943"/>
    <w:rsid w:val="00E84CC3"/>
    <w:rsid w:val="00EA1417"/>
    <w:rsid w:val="00F00E29"/>
    <w:rsid w:val="00F60764"/>
    <w:rsid w:val="00F77C9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5D3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subject/>
  <dc:creator> </dc:creator>
  <cp:keywords/>
  <dc:description/>
  <cp:lastModifiedBy>Nicole Dukinfield</cp:lastModifiedBy>
  <cp:revision>2</cp:revision>
  <cp:lastPrinted>2015-03-03T03:09:00Z</cp:lastPrinted>
  <dcterms:created xsi:type="dcterms:W3CDTF">2015-03-03T03:29:00Z</dcterms:created>
  <dcterms:modified xsi:type="dcterms:W3CDTF">2015-03-03T03:29:00Z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A2593034</vt:lpwstr>
  </property>
  <property fmtid="{D5CDD505-2E9C-101B-9397-08002B2CF9AE}" pid="3" name="Objective-Title">
    <vt:lpwstr>Att 3 Blayney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Nicole Dukinfield</vt:lpwstr>
  </property>
  <property fmtid="{D5CDD505-2E9C-101B-9397-08002B2CF9AE}" pid="9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(Active):Blayney Shire Council/23</vt:lpwstr>
  </property>
  <property fmtid="{D5CDD505-2E9C-101B-9397-08002B2CF9AE}" pid="10" name="Objective-Parent">
    <vt:lpwstr>DoP Working Area (Blayney Shire Council/23-02-2015/Rezone land from E3 to RU1/)</vt:lpwstr>
  </property>
  <property fmtid="{D5CDD505-2E9C-101B-9397-08002B2CF9AE}" pid="11" name="Objective-State">
    <vt:lpwstr>Being Drafted</vt:lpwstr>
  </property>
  <property fmtid="{D5CDD505-2E9C-101B-9397-08002B2CF9AE}" pid="12" name="Objective-Version">
    <vt:lpwstr>0.3</vt:lpwstr>
  </property>
  <property fmtid="{D5CDD505-2E9C-101B-9397-08002B2CF9AE}" pid="13" name="Objective-VersionNumber">
    <vt:r8>3</vt:r8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Security Classification [system]">
    <vt:lpwstr>UNCLASSIFIED</vt:lpwstr>
  </property>
  <property fmtid="{D5CDD505-2E9C-101B-9397-08002B2CF9AE}" pid="19" name="Objective-DLM [system]">
    <vt:lpwstr>No Impact</vt:lpwstr>
  </property>
  <property fmtid="{D5CDD505-2E9C-101B-9397-08002B2CF9AE}" pid="20" name="Objective-Vital Record [system]">
    <vt:lpwstr>No</vt:lpwstr>
  </property>
  <property fmtid="{D5CDD505-2E9C-101B-9397-08002B2CF9AE}" pid="21" name="Objective-CreationStamp">
    <vt:filetime>2015-02-27T03:17:22Z</vt:filetime>
  </property>
  <property fmtid="{D5CDD505-2E9C-101B-9397-08002B2CF9AE}" pid="22" name="Objective-ModificationStamp">
    <vt:filetime>2015-03-03T03:11:02Z</vt:filetime>
  </property>
</Properties>
</file>